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center"/>
        <w:textAlignment w:val="auto"/>
        <w:rPr>
          <w:rFonts w:hint="default"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芜湖科创基金子基金管理机构征集公告</w:t>
      </w: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第一条 总则</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Times New Roman"/>
          <w:sz w:val="32"/>
          <w:szCs w:val="32"/>
          <w:lang w:val="en-US" w:eastAsia="zh-CN"/>
        </w:rPr>
        <w:t>为提高国有资金使用效益，引导社会资本服务芜湖市科技创新及产业发展，芜湖市科创集团有限公司（下称"市科创集团"）与芜湖市经开区国资平台共同作为出资主体（下合称“基金发起人”），发起设立1支专项子基金，基金总规模8000万元人民币，现公开征集子基金管理机构，具体公告如下：</w:t>
      </w: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第二条 子基金管理机构要求</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（一）管理资质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1.管理机构应为中华人民共和国境内注册的公司制或有限合伙制企业。正式签订基金合伙协议或公司章程前，实缴资本或实际缴付出资不得低于1000万元人民币，并在中国证券基金业协会完成私募股权投资基金</w:t>
      </w:r>
      <w:r>
        <w:rPr>
          <w:rFonts w:hint="default" w:ascii="Times New Roman" w:hAnsi="Times New Roman" w:eastAsia="仿宋_GB2312" w:cs="Times New Roman"/>
          <w:sz w:val="32"/>
          <w:szCs w:val="32"/>
          <w:lang w:val="en-US" w:eastAsia="zh-CN"/>
        </w:rPr>
        <w:t>管理人</w:t>
      </w:r>
      <w:r>
        <w:rPr>
          <w:rFonts w:hint="eastAsia" w:ascii="Times New Roman" w:hAnsi="Times New Roman" w:eastAsia="仿宋_GB2312" w:cs="Times New Roman"/>
          <w:sz w:val="32"/>
          <w:szCs w:val="32"/>
          <w:lang w:val="en-US" w:eastAsia="zh-CN"/>
        </w:rPr>
        <w:t>相关登记程序，同时符合监管部门防范资本无序扩张的监管要求。</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2.同一控股股东/实际控制人控制的关联私募基金管理机构（以中基协登记口径为准）只允许申报一家，且同一时期只允许申报基金发起人发起的一只基金。</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（二）管理团队</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管理机构及其高管、管理团队不得有因不诚信或不合规行为引发社会重大质疑或者产生严重社会负面影响且影响尚未消除的情形，均不得为失信被执行人，均没有受过行政主管机关、司法机关处罚的不良记录，在3年内均未受过行业自律组织处罚（本次征集所有材料涉及的管理团队均</w:t>
      </w:r>
      <w:bookmarkStart w:id="0" w:name="_GoBack"/>
      <w:bookmarkEnd w:id="0"/>
      <w:r>
        <w:rPr>
          <w:rFonts w:hint="eastAsia" w:ascii="Times New Roman" w:hAnsi="Times New Roman" w:eastAsia="仿宋_GB2312" w:cs="Times New Roman"/>
          <w:sz w:val="32"/>
          <w:szCs w:val="32"/>
          <w:lang w:val="en-US" w:eastAsia="zh-CN"/>
        </w:rPr>
        <w:t>指管理机构为所申报基金配置的专属管理团队）。</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2.管理机构的实际控制人不存在监管部门高度关注的风险隐患。</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3.管理机构具有5年以上股权投资或基金管理工作经验，管理团队中至少有5名具备5年以上早期项目投资经验或相关行业经验的高级管理人员，全职专业人员数量不少于8人，至少1名核心人员常驻市科创集团办公。</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（三）管理规模及成功案例</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1.管理机构实际管理的基金实缴总规模不低于30亿元，在管基金中累计投资早期项目资金规模不低于1亿元（或等值货币）；</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2.至少在本征集公告第三条“投资方向”领域内主导过10个股权投资成功案例（指已成功退出且IRR不低于10%）；以及</w:t>
      </w:r>
      <w:r>
        <w:rPr>
          <w:rFonts w:hint="eastAsia" w:ascii="Times New Roman" w:hAnsi="Times New Roman" w:eastAsia="仿宋_GB2312" w:cs="Times New Roman"/>
          <w:sz w:val="32"/>
          <w:szCs w:val="32"/>
          <w:highlight w:val="none"/>
          <w:lang w:val="en-US" w:eastAsia="zh-CN"/>
        </w:rPr>
        <w:t>2个（</w:t>
      </w:r>
      <w:r>
        <w:rPr>
          <w:rFonts w:hint="eastAsia" w:ascii="Times New Roman" w:hAnsi="Times New Roman" w:eastAsia="仿宋_GB2312" w:cs="Times New Roman"/>
          <w:kern w:val="2"/>
          <w:sz w:val="32"/>
          <w:szCs w:val="32"/>
          <w:lang w:val="en-US" w:eastAsia="zh-CN" w:bidi="ar"/>
        </w:rPr>
        <w:t>含</w:t>
      </w:r>
      <w:r>
        <w:rPr>
          <w:rFonts w:hint="eastAsia" w:ascii="Times New Roman" w:hAnsi="Times New Roman" w:eastAsia="仿宋_GB2312" w:cs="Times New Roman"/>
          <w:sz w:val="32"/>
          <w:szCs w:val="32"/>
          <w:highlight w:val="none"/>
          <w:lang w:val="en-US" w:eastAsia="zh-CN"/>
        </w:rPr>
        <w:t>）以上早期项目成功退出的案例</w:t>
      </w:r>
      <w:r>
        <w:rPr>
          <w:rFonts w:hint="eastAsia" w:ascii="Times New Roman" w:hAnsi="Times New Roman" w:eastAsia="仿宋_GB2312" w:cs="Times New Roman"/>
          <w:sz w:val="32"/>
          <w:szCs w:val="32"/>
          <w:lang w:val="en-US" w:eastAsia="zh-CN"/>
        </w:rPr>
        <w:t>（成功退出案例是指：（1）以现金方式退出部分或全部股权，且该退出部分股权投资收益率超过50%，（2）被投企业获得其他机构的后轮融资，最近一轮融资估值较管理团队投资时增长3倍及以上）</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属于同一实际控制人且由同一核心团队运营的管理机构，上述条件可合并计算。</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default"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（四）储备项目</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管理机构储备项目中意向落户芜湖不少于8个。</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（五）属地化能力</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承诺在基金投资期内（24个月）完成全部返投，如遇特殊情况或不可抗力因素，经基金发起人审批通过后，投资期最多可延长6个月，存续期相应延长。</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（六）风险控制</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管理机构管理和投资运作规范，具有健全的投资决策程序、全面的风险控制机制、健全的内部财务管理制度和会计核算办法。</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（七）出资要求</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Times New Roman"/>
          <w:sz w:val="32"/>
          <w:szCs w:val="32"/>
          <w:lang w:val="en-US" w:eastAsia="zh-CN"/>
        </w:rPr>
        <w:t>管理机构中选后需对所管理基金出资入股，认缴出资不低于基金目标规模的1%。</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（八）优先合作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为有效推进子基金设立，在同等条件下，优先与以下管理机构合作（满足其一即可）:</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1.管理机构对芜湖市产业发展规划熟悉，理解透彻，对芜湖市企业有丰富投资案例和经验的，且近期拟投储备项目充足。</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2.管理机构深耕芜湖市战新产业的细分领域和赛道，围绕芜湖市战略性新兴产业和重点产业链延链、补链、强链；</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3.管理机构与芜湖市各区县重点产业有良好合作基础，瞄准产业链缺失环节和关键核心技术，有针对性地赋能芜湖市重点产业，实现产业集聚和资源整合；</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4.管理机构为省内外战略新兴产业的龙头企业、上市公司产业资本（CVC）或与其建立深度战略合作；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5.有出色投资记录、行业排名在前100名的机构（具体参考清科、投中、中国风险投资研究院等第三方知名机构或中国证券投资基金业协会等行业自律组织近三年发布的相关行业排名）；</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6.机构资本运营经验丰富，产业资源导入能力和投后服务能力强的基金管理机构；</w:t>
      </w: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第三条 申报子基金要求</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仿宋_GB2312"/>
          <w:b/>
          <w:bCs/>
          <w:sz w:val="32"/>
          <w:szCs w:val="32"/>
          <w:lang w:val="en-US" w:eastAsia="zh-CN"/>
        </w:rPr>
        <w:t>（一）存续期</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子基金存续期原则上最长不超过</w:t>
      </w:r>
      <w:r>
        <w:rPr>
          <w:rFonts w:hint="eastAsia" w:ascii="Times New Roman" w:hAnsi="Times New Roman" w:eastAsia="仿宋_GB2312" w:cs="Times New Roman"/>
          <w:sz w:val="32"/>
          <w:szCs w:val="32"/>
          <w:highlight w:val="none"/>
          <w:lang w:val="en-US" w:eastAsia="zh-CN"/>
        </w:rPr>
        <w:t>8</w:t>
      </w:r>
      <w:r>
        <w:rPr>
          <w:rFonts w:hint="eastAsia" w:ascii="Times New Roman" w:hAnsi="Times New Roman" w:eastAsia="仿宋_GB2312" w:cs="Times New Roman"/>
          <w:sz w:val="32"/>
          <w:szCs w:val="32"/>
          <w:lang w:val="en-US" w:eastAsia="zh-CN"/>
        </w:rPr>
        <w:t>年（经基金发起人审议批准延长基金投资期限的，子基金存续期将自动顺延相同期限）。确需延展期限的，经基金发起人审议通过后可延长2次，每次1年。</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仿宋_GB2312"/>
          <w:b/>
          <w:bCs/>
          <w:sz w:val="32"/>
          <w:szCs w:val="32"/>
          <w:lang w:val="en-US" w:eastAsia="zh-CN"/>
        </w:rPr>
        <w:t>（二）基金规模</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Times New Roman" w:hAnsi="Times New Roman" w:eastAsia="仿宋_GB2312" w:cs="Times New Roman"/>
          <w:sz w:val="32"/>
          <w:szCs w:val="32"/>
          <w:highlight w:val="yellow"/>
          <w:lang w:val="en-US" w:eastAsia="zh-CN"/>
        </w:rPr>
      </w:pPr>
      <w:r>
        <w:rPr>
          <w:rFonts w:hint="eastAsia" w:ascii="Times New Roman" w:hAnsi="Times New Roman" w:eastAsia="仿宋_GB2312" w:cs="Times New Roman"/>
          <w:sz w:val="32"/>
          <w:szCs w:val="32"/>
          <w:lang w:val="en-US" w:eastAsia="zh-CN"/>
        </w:rPr>
        <w:t>本支子基金规模为8000万元人民币，由基金发起人认缴99%，管理机构认缴1%（若中国证券投资基金业协会备案要求或相关监管规定对管理机构出资比例另有明确标准，管理机构应按照孰高原则执行，且调整后的出资比例需报基金发起人备案通过后实施）。</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（三）投资限额</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子基金投资项目原则上不得成为被投资企业单一第一大股东，单个项目累计投资金额原则上不超过1500万（总部搬迁项目除外）。</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（四）投资方向</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子基金须聚焦人工智能、合成生物、新材料、新一代信息技术等符合芜湖市产业规划方向的领域，紧密围绕芜湖市科技创新产业生态建设，协同推进科技成果转化、项目引荐等相关工作，重点投向具备核心技术壁垒与高成长潜力的种子期、初创期等科技型企业。</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仿宋_GB2312"/>
          <w:b/>
          <w:bCs/>
          <w:sz w:val="32"/>
          <w:szCs w:val="32"/>
          <w:lang w:val="en-US" w:eastAsia="zh-CN"/>
        </w:rPr>
        <w:t>（五）返投要求</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子基金需登记注册在芜湖市，资金需全部投资芜湖市内；对以下情形可将子基金投资的投资额计算为子基金投资于芜湖市企业的投资额，具体包括：</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1.子基金投资芜湖市企业的实际投资金额；</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2.子基金投资芜湖市外企业，并将芜湖市外企业注册地迁移至芜湖市，子基金对市外企业的投资额可认定为对芜湖市范围内企业的投资金额；</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子基金投资的芜湖市外企业增资芜湖市企业或在芜湖市设立新企业（增资芜湖市企业金额或新设企业实缴资本不低于子基金对市外企业的投资额），子基金对市外企业的投资额可认定为对芜湖市范围内企业的投资金额；</w:t>
      </w:r>
    </w:p>
    <w:p>
      <w:pPr>
        <w:numPr>
          <w:ilvl w:val="0"/>
          <w:numId w:val="0"/>
        </w:numPr>
        <w:ind w:firstLine="64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4.子基金投资的芜湖市外企业或其子公司在芜湖市新设研发或生产基地，且在芜投资额不低于子基金对市外企业的投资额，子基金对市外企业的投资额可认定为对芜湖市范围内企业的投资金额；</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lang w:val="en-US" w:eastAsia="zh-CN"/>
        </w:rPr>
      </w:pPr>
      <w:r>
        <w:rPr>
          <w:rFonts w:hint="eastAsia" w:eastAsia="仿宋_GB2312" w:cs="Times New Roman"/>
          <w:b w:val="0"/>
          <w:color w:val="auto"/>
          <w:sz w:val="32"/>
          <w:szCs w:val="32"/>
          <w:lang w:val="en-US" w:eastAsia="zh-CN"/>
        </w:rPr>
        <w:t>5</w:t>
      </w:r>
      <w:r>
        <w:rPr>
          <w:rFonts w:hint="eastAsia" w:ascii="Times New Roman" w:hAnsi="Times New Roman" w:eastAsia="仿宋_GB2312" w:cs="Times New Roman"/>
          <w:b w:val="0"/>
          <w:color w:val="auto"/>
          <w:sz w:val="32"/>
          <w:szCs w:val="32"/>
          <w:lang w:val="en-US" w:eastAsia="zh-CN"/>
        </w:rPr>
        <w:t>.其他</w:t>
      </w:r>
      <w:r>
        <w:rPr>
          <w:rFonts w:hint="eastAsia" w:eastAsia="仿宋_GB2312" w:cs="Times New Roman"/>
          <w:b w:val="0"/>
          <w:color w:val="auto"/>
          <w:sz w:val="32"/>
          <w:szCs w:val="32"/>
          <w:lang w:val="en-US" w:eastAsia="zh-CN"/>
        </w:rPr>
        <w:t>符合我市相关基金管理办法或</w:t>
      </w:r>
      <w:r>
        <w:rPr>
          <w:rFonts w:hint="eastAsia" w:ascii="Times New Roman" w:hAnsi="Times New Roman" w:eastAsia="仿宋_GB2312" w:cs="Times New Roman"/>
          <w:b w:val="0"/>
          <w:color w:val="auto"/>
          <w:sz w:val="32"/>
          <w:szCs w:val="32"/>
          <w:lang w:val="en-US" w:eastAsia="zh-CN"/>
        </w:rPr>
        <w:t>经项目所在地县市区认定的投资金额</w:t>
      </w:r>
      <w:r>
        <w:rPr>
          <w:rFonts w:hint="eastAsia" w:eastAsia="仿宋_GB2312" w:cs="Times New Roman"/>
          <w:b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仿宋_GB2312"/>
          <w:b/>
          <w:bCs/>
          <w:sz w:val="32"/>
          <w:szCs w:val="32"/>
          <w:lang w:val="en-US" w:eastAsia="zh-CN"/>
        </w:rPr>
        <w:t>（六）基金出资</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为防止资金在子基金沉淀，提高资金使用效率，提高子基金</w:t>
      </w:r>
      <w:r>
        <w:rPr>
          <w:rFonts w:hint="eastAsia" w:ascii="Times New Roman" w:hAnsi="Times New Roman" w:eastAsia="仿宋_GB2312" w:cs="Times New Roman"/>
          <w:sz w:val="32"/>
          <w:szCs w:val="32"/>
          <w:lang w:val="en-US" w:eastAsia="zh-CN"/>
        </w:rPr>
        <w:t>管理机构</w:t>
      </w:r>
      <w:r>
        <w:rPr>
          <w:rFonts w:hint="eastAsia" w:ascii="Times New Roman" w:hAnsi="Times New Roman" w:eastAsia="仿宋_GB2312" w:cs="Times New Roman"/>
          <w:sz w:val="32"/>
          <w:szCs w:val="32"/>
          <w:highlight w:val="none"/>
          <w:lang w:val="en-US" w:eastAsia="zh-CN"/>
        </w:rPr>
        <w:t>积极性，基金出资遵循“资金跟着项目走”原则，除在中基协备案所需实缴的1000万以外，子基金须在项目通过投资决策后，根据实际投资需求向</w:t>
      </w:r>
      <w:r>
        <w:rPr>
          <w:rFonts w:hint="eastAsia" w:ascii="Times New Roman" w:hAnsi="Times New Roman" w:eastAsia="仿宋_GB2312" w:cs="Times New Roman"/>
          <w:sz w:val="32"/>
          <w:szCs w:val="32"/>
          <w:lang w:val="en-US" w:eastAsia="zh-CN"/>
        </w:rPr>
        <w:t>基金发起人</w:t>
      </w:r>
      <w:r>
        <w:rPr>
          <w:rFonts w:hint="eastAsia" w:ascii="Times New Roman" w:hAnsi="Times New Roman" w:eastAsia="仿宋_GB2312" w:cs="Times New Roman"/>
          <w:sz w:val="32"/>
          <w:szCs w:val="32"/>
          <w:highlight w:val="none"/>
          <w:lang w:val="en-US" w:eastAsia="zh-CN"/>
        </w:rPr>
        <w:t>提交出资申请；</w:t>
      </w:r>
      <w:r>
        <w:rPr>
          <w:rFonts w:hint="eastAsia" w:ascii="Times New Roman" w:hAnsi="Times New Roman" w:eastAsia="仿宋_GB2312" w:cs="Times New Roman"/>
          <w:sz w:val="32"/>
          <w:szCs w:val="32"/>
          <w:lang w:val="en-US" w:eastAsia="zh-CN"/>
        </w:rPr>
        <w:t>基金发起人</w:t>
      </w:r>
      <w:r>
        <w:rPr>
          <w:rFonts w:hint="eastAsia" w:ascii="Times New Roman" w:hAnsi="Times New Roman" w:eastAsia="仿宋_GB2312" w:cs="Times New Roman"/>
          <w:sz w:val="32"/>
          <w:szCs w:val="32"/>
          <w:highlight w:val="none"/>
          <w:lang w:val="en-US" w:eastAsia="zh-CN"/>
        </w:rPr>
        <w:t>按双方约定时间及金额进行定向出资，出资行为独立于其他项目，不采取固定比例出资方式。</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仿宋_GB2312"/>
          <w:b/>
          <w:bCs/>
          <w:sz w:val="32"/>
          <w:szCs w:val="32"/>
          <w:lang w:val="en-US" w:eastAsia="zh-CN"/>
        </w:rPr>
        <w:t>（七）管理费用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自基金发起人实际对子基金出资之日起计算，子基金管理费率参照市场惯例由基金发起人与子基金管理机构协商后确定，原则上投资期每年最高不超过子基金实缴规模的2%。退出期管理费按照已投未退出的投资金额收取1%，延长期不收取管理费。</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仿宋_GB2312"/>
          <w:b/>
          <w:bCs/>
          <w:sz w:val="32"/>
          <w:szCs w:val="32"/>
          <w:lang w:val="en-US" w:eastAsia="zh-CN"/>
        </w:rPr>
        <w:t>（八）收益分配</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子基金投资收入按照“先分配本金，后分配收益”的原则，实行项目即退即分。本金及门槛收益率（6.5%）按照实缴比例分配给全体合伙人，余下收益的80%按实缴出资比例分配给全体合伙人，20%作为超额业绩奖励分配给基金管理机构。</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仿宋_GB2312"/>
          <w:b/>
          <w:bCs/>
          <w:sz w:val="32"/>
          <w:szCs w:val="32"/>
          <w:lang w:val="en-US" w:eastAsia="zh-CN"/>
        </w:rPr>
        <w:t>（九）管理与考核</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1.子基金采取市场化机制运作，由子基金管理机构依据合伙协议（或公司章程）等相关约定进行投资决策。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2.基金发起人可采取委派投委会委员、观察员等形式对子基金进行管理，依法行使出资人权利，监督子基金的投资和运作，但不参与子基金的日常管理，不对子基金拟投资项目的商业价值进行判断。</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3.基金发起人委派人员除普通表决权外，对拟投项目是否违反相关法律法规、市科创集团相关政策文件、市科创集团组建方案以及子基金合伙协议的约定，具有一票否决权。</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lang w:val="en-US" w:eastAsia="zh-CN"/>
        </w:rPr>
        <w:t>基金发起人</w:t>
      </w:r>
      <w:r>
        <w:rPr>
          <w:rFonts w:hint="eastAsia" w:ascii="Times New Roman" w:hAnsi="Times New Roman" w:eastAsia="仿宋_GB2312" w:cs="Times New Roman"/>
          <w:sz w:val="32"/>
          <w:szCs w:val="32"/>
          <w:highlight w:val="none"/>
          <w:lang w:val="en-US" w:eastAsia="zh-CN"/>
        </w:rPr>
        <w:t>按照年度对子基金进行考核评价，</w:t>
      </w:r>
      <w:r>
        <w:rPr>
          <w:rFonts w:hint="eastAsia" w:ascii="Times New Roman" w:hAnsi="Times New Roman" w:eastAsia="仿宋_GB2312" w:cs="Times New Roman"/>
          <w:sz w:val="32"/>
          <w:szCs w:val="32"/>
          <w:lang w:val="en-US" w:eastAsia="zh-CN"/>
        </w:rPr>
        <w:t>管理费用根据投资计划完成情况按比例核算。</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仿宋_GB2312"/>
          <w:b/>
          <w:bCs/>
          <w:sz w:val="32"/>
          <w:szCs w:val="32"/>
          <w:lang w:val="en-US" w:eastAsia="zh-CN"/>
        </w:rPr>
        <w:t>（十）风险控制</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1.子基金不得从事以下业务:</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（1）不得从事担保、抵押、委托贷款等业务。</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（2）不得投资二级市场股票、期货、房地产、证券投资基金、评级AAA以下的企业债、信托产品、非保本型理财产品、保险计划及其他金融衍生品。</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（3）不得向任何第三方提供赞助、捐赠（经批准的公益性捐赠除外）。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（4）不得吸收或变相吸收存款，或向第三方提供贷款、资金拆借。</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（5）不得进行承担无限连带责任的对外投资。</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（6）不得发行信托或集合理财产品募集资金。</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（7）不得投资国家禁止或者限制投资的项目，以及不符合国家产业政策、环境保护政策、土地管理政策的项目。</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（8）不得开展借（存）贷、担保、明股实债等非私募基金投资活动。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（9）不得投资保理资产、融资租赁资产、典当资产等类信贷资产、股权或其收（受）益权。</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（10）不得投资金融资产交易中心发行的产品。</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（11）不得投资首发企业股票。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（12）不得从事法律法规和中国证监会禁止的其他活动。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2.专注度要求</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子基金合伙协议（或公司章程）须对子基金投委会委员和管理团队的核心人员进行锁定，被锁定人员如发生人员变动，须经合伙人大会或股东（大）会等子基金权力机构表决通过，在子基金完成80%的投资进度之前，被锁定人员不得作为其他基金的关键人士参与相同领域及地域的投资，子基金管理机构不得募集、管理相同投资领域及地域的其他基金。</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3.资金托管</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子基金应选取具备托管资质的商业银行等托管机构对基金资产进行托管，基金发起人可向子基金推荐基金托管机构，子基金托管户应开立在芜湖市内。托管银行接受子基金委托并签订托管协议，按照托管协议开展资产托管、资金拨付和结算等日常工作，对投资活动进行动态监管，确保子基金按约定方向投资，定期向基金发起人提交银行托管报告。</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子基金的闲置资金只能投资于银行存款、国债、地方政府债、政策性金融债、政府支持债券等安全性和流动性较好的资产。</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4.基金发起人强制清算及退出权</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子基金管理机构投资未按照本申报指南及征集公告、子基金合伙协议（或公司章程）约定执行的，基金发起人应责成其限期整改并暂停该基金投资。对整改合格的管理机构，基金发起人可恢复其基金投资，对整改不合格的管理机构，基金发起人有权启动子基金清算程序。</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有下列情况之一的，基金发起人有权无条件要求退出，子基金管理机构须签署一切必要的文件或履行所有必要的程序以确保基金发起人退出，退出价格按照子基金合伙协议（或公司章程）约定计算，并不低于投资本金余额及按LPR计算的收益之和，因基金发起人退出而产生的风险和损失由子基金管理机构承担：</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（1）章程或协议签署后超过6个月，未按规定程序完成备案等设立登记或变更登记手续的。</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（2）出资拨付子基金账户6个月以上，子基金未开展投资的。</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（3）子基金投资项目不符合政策导向的。</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（4）子基金管理机构发生实质性变化且未经相关基金权利机构审议通过的，包括控股股东、实际控制人、管理该基金的关键人士发生变化。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（5）子基金出资人违反防范资本无序扩张监管要求或对子基金的出资资金来源不合法，受到监管部门处罚的。</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（6）发现其他危害基金安全或违背政策目标等事前约定退出情形的。</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（7）子基金未按合伙协议或章程约定投资且未能有效整改的。</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（8）未经基金发起人同意，子基金管理团队核心成员半数（含）以上发生变化的。</w:t>
      </w:r>
    </w:p>
    <w:p>
      <w:pPr>
        <w:numPr>
          <w:ilvl w:val="0"/>
          <w:numId w:val="0"/>
        </w:num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（9）未完成年度投资计划，且未提出经基金发起人满意的整改措施的。</w:t>
      </w:r>
    </w:p>
    <w:p>
      <w:pPr>
        <w:numPr>
          <w:ilvl w:val="0"/>
          <w:numId w:val="0"/>
        </w:numPr>
        <w:ind w:firstLine="640"/>
        <w:rPr>
          <w:rFonts w:hint="eastAsia" w:ascii="Times New Roman" w:hAnsi="Times New Roman" w:eastAsia="仿宋_GB2312" w:cs="Times New Roman"/>
          <w:b w:val="0"/>
          <w:color w:val="auto"/>
          <w:kern w:val="2"/>
          <w:sz w:val="32"/>
          <w:szCs w:val="32"/>
          <w:lang w:val="en-US" w:eastAsia="zh-CN" w:bidi="ar-SA"/>
        </w:rPr>
      </w:pPr>
      <w:r>
        <w:rPr>
          <w:rFonts w:hint="eastAsia" w:ascii="Times New Roman" w:hAnsi="Times New Roman" w:eastAsia="仿宋_GB2312" w:cs="Times New Roman"/>
          <w:b w:val="0"/>
          <w:color w:val="auto"/>
          <w:kern w:val="2"/>
          <w:sz w:val="32"/>
          <w:szCs w:val="32"/>
          <w:lang w:val="en-US" w:eastAsia="zh-CN" w:bidi="ar-SA"/>
        </w:rPr>
        <w:t>（10）未按照芜湖市基金管理办法履行报告制度的。</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5.信息披露</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子基金管理机构应当建立子基金重大事项披露制度。子基金须定期向基金发起人提交子基金运营报告、经审计的子基金财务报告和银行托管报告等，基金发起人视工作需要可委托专业机构对子基金进行审计。</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6.违规惩罚机制</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（1）对子基金管理机构弄虚作假欺骗基金发起人或不按规定用途使用、截留挪用、挥霍浪费资金等行为，基金发起人将公开谴责并依法追究相关责任，同时有权启动子基金清算程序；</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子基金管理机构在子基金运营中存在违法违规违约行为的，基金发起人可视情节严重程度采取公开曝光、行业谴责、强制退出等措施，追究其相应责任。自上述行为或情形发生之日起五年内，子基金管理机构以及相关人员皆不得向基金发起人及关联机构管理的基金申请设立新的子基金。</w:t>
      </w: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第四条 子基金申报流程</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（一）公开征集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由基金发起人面向市场公开征集合作的子基金管理机构，进行子基金方案的初步洽谈。</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仿宋_GB2312"/>
          <w:b/>
          <w:bCs/>
          <w:sz w:val="32"/>
          <w:szCs w:val="32"/>
          <w:lang w:val="en-US" w:eastAsia="zh-CN"/>
        </w:rPr>
        <w:t>（二）投资立项</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基金发起人对申报机构进行初步筛选，对符合投资方向和投资条件的子基金进行立项。</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（三）尽职调查</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基金发起人通过现场沟通形式对符合条件的申报机构进行二次筛选，根据筛选结果组织对申报机构开展尽职调查，并进行内部审核。若尽职调查发现申报材料存在提供虚假、不真实的信息或者伪造数据、资料、证书或存在违反芜湖市引导基金有关规定等情况，或基金发起人认为其不具备投资价值的，有权终止该次申报。</w:t>
      </w:r>
    </w:p>
    <w:p>
      <w:pPr>
        <w:keepNext w:val="0"/>
        <w:keepLines w:val="0"/>
        <w:pageBreakBefore w:val="0"/>
        <w:widowControl w:val="0"/>
        <w:numPr>
          <w:ilvl w:val="-1"/>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（四）专家评审</w:t>
      </w:r>
    </w:p>
    <w:p>
      <w:pPr>
        <w:pStyle w:val="2"/>
        <w:rPr>
          <w:rFonts w:hint="eastAsia" w:eastAsia="仿宋_GB2312" w:cs="Times New Roman"/>
          <w:b w:val="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由</w:t>
      </w:r>
      <w:r>
        <w:rPr>
          <w:rFonts w:hint="eastAsia" w:eastAsia="仿宋_GB2312" w:cs="Times New Roman"/>
          <w:b w:val="0"/>
          <w:bCs w:val="0"/>
          <w:color w:val="000000"/>
          <w:sz w:val="32"/>
          <w:szCs w:val="32"/>
          <w:lang w:val="en-US" w:eastAsia="zh-CN"/>
        </w:rPr>
        <w:t>芜湖</w:t>
      </w:r>
      <w:r>
        <w:rPr>
          <w:rFonts w:hint="eastAsia" w:ascii="Times New Roman" w:hAnsi="Times New Roman" w:eastAsia="仿宋_GB2312" w:cs="Times New Roman"/>
          <w:b w:val="0"/>
          <w:bCs w:val="0"/>
          <w:color w:val="000000"/>
          <w:sz w:val="32"/>
          <w:szCs w:val="32"/>
          <w:lang w:val="en-US" w:eastAsia="zh-CN"/>
        </w:rPr>
        <w:t>市投资控股集团</w:t>
      </w:r>
      <w:r>
        <w:rPr>
          <w:rFonts w:hint="eastAsia" w:eastAsia="仿宋_GB2312" w:cs="Times New Roman"/>
          <w:b w:val="0"/>
          <w:bCs w:val="0"/>
          <w:color w:val="000000"/>
          <w:sz w:val="32"/>
          <w:szCs w:val="32"/>
          <w:lang w:val="en-US" w:eastAsia="zh-CN"/>
        </w:rPr>
        <w:t>、芜湖市科创集团、芜湖市经开区国资平台</w:t>
      </w:r>
      <w:r>
        <w:rPr>
          <w:rFonts w:hint="eastAsia" w:ascii="Times New Roman" w:hAnsi="Times New Roman" w:eastAsia="仿宋_GB2312" w:cs="Times New Roman"/>
          <w:b w:val="0"/>
          <w:bCs w:val="0"/>
          <w:color w:val="000000"/>
          <w:sz w:val="32"/>
          <w:szCs w:val="32"/>
          <w:lang w:val="en-US" w:eastAsia="zh-CN"/>
        </w:rPr>
        <w:t>组</w:t>
      </w:r>
      <w:r>
        <w:rPr>
          <w:rFonts w:hint="eastAsia" w:ascii="Times New Roman" w:hAnsi="Times New Roman" w:eastAsia="仿宋_GB2312" w:cs="Times New Roman"/>
          <w:b w:val="0"/>
          <w:bCs w:val="0"/>
          <w:sz w:val="32"/>
          <w:szCs w:val="32"/>
          <w:lang w:val="en-US" w:eastAsia="zh-CN"/>
        </w:rPr>
        <w:t>成</w:t>
      </w:r>
      <w:r>
        <w:rPr>
          <w:rFonts w:hint="eastAsia" w:ascii="Times New Roman" w:hAnsi="Times New Roman" w:eastAsia="仿宋_GB2312" w:cs="Times New Roman"/>
          <w:b w:val="0"/>
          <w:i w:val="0"/>
          <w:caps w:val="0"/>
          <w:color w:val="000000"/>
          <w:spacing w:val="0"/>
          <w:sz w:val="32"/>
          <w:szCs w:val="32"/>
        </w:rPr>
        <w:t>专家评审委员会</w:t>
      </w:r>
      <w:r>
        <w:rPr>
          <w:rFonts w:hint="eastAsia" w:ascii="Times New Roman" w:hAnsi="Times New Roman" w:eastAsia="仿宋_GB2312" w:cs="Times New Roman"/>
          <w:b w:val="0"/>
          <w:bCs w:val="0"/>
          <w:sz w:val="32"/>
          <w:szCs w:val="32"/>
          <w:lang w:val="en-US" w:eastAsia="zh-CN"/>
        </w:rPr>
        <w:t>，进入专家评审环节的申报机构，其拟任子基金核心管理团队须参加现场评审。未按时参加的，视为自愿放弃。管理团队就团队配置、投资策略、风控机制</w:t>
      </w:r>
      <w:r>
        <w:rPr>
          <w:rFonts w:hint="eastAsia" w:eastAsia="仿宋_GB2312" w:cs="Times New Roman"/>
          <w:b w:val="0"/>
          <w:bCs w:val="0"/>
          <w:sz w:val="32"/>
          <w:szCs w:val="32"/>
          <w:lang w:val="en-US" w:eastAsia="zh-CN"/>
        </w:rPr>
        <w:t>、储备项目</w:t>
      </w:r>
      <w:r>
        <w:rPr>
          <w:rFonts w:hint="eastAsia" w:ascii="Times New Roman" w:hAnsi="Times New Roman" w:eastAsia="仿宋_GB2312" w:cs="Times New Roman"/>
          <w:b w:val="0"/>
          <w:bCs w:val="0"/>
          <w:sz w:val="32"/>
          <w:szCs w:val="32"/>
          <w:lang w:val="en-US" w:eastAsia="zh-CN"/>
        </w:rPr>
        <w:t>等进行现场路演并接受质询，专家</w:t>
      </w:r>
      <w:r>
        <w:rPr>
          <w:rFonts w:hint="eastAsia" w:ascii="Times New Roman" w:hAnsi="Times New Roman" w:eastAsia="仿宋_GB2312" w:cs="Times New Roman"/>
          <w:b w:val="0"/>
          <w:i w:val="0"/>
          <w:caps w:val="0"/>
          <w:spacing w:val="0"/>
          <w:sz w:val="32"/>
          <w:szCs w:val="32"/>
        </w:rPr>
        <w:t>评审委员会</w:t>
      </w:r>
      <w:r>
        <w:rPr>
          <w:rFonts w:hint="eastAsia" w:ascii="Times New Roman" w:hAnsi="Times New Roman" w:eastAsia="仿宋_GB2312" w:cs="Times New Roman"/>
          <w:b w:val="0"/>
          <w:bCs w:val="0"/>
          <w:sz w:val="32"/>
          <w:szCs w:val="32"/>
          <w:lang w:val="en-US" w:eastAsia="zh-CN"/>
        </w:rPr>
        <w:t>根据申报机构申报材料及现场陈述情况，进行综合评价。基金发起人根据综合评审情况，确定候选管理机构进入后续环节</w:t>
      </w:r>
      <w:r>
        <w:rPr>
          <w:rFonts w:hint="eastAsia" w:eastAsia="仿宋_GB2312" w:cs="Times New Roman"/>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仿宋_GB2312"/>
          <w:b/>
          <w:bCs/>
          <w:sz w:val="32"/>
          <w:szCs w:val="32"/>
          <w:lang w:val="en-US" w:eastAsia="zh-CN"/>
        </w:rPr>
        <w:t>（五）公示和决策</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sz w:val="32"/>
          <w:szCs w:val="32"/>
          <w:lang w:val="en-US" w:eastAsia="zh-CN"/>
        </w:rPr>
        <w:t>对内部审核通过的申报机构进行公示，公示期为5个工作日。公示完成后基金发起人审议确定子基金管理机构及子基金设立方案，并向通过投资决策的子基金管理机构发送中选通知书。申报机构是否中选，以基金发起人最终投资决策结果为准；申报机构未中选的，基金发起人不承担任何责任。</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仿宋_GB2312"/>
          <w:b/>
          <w:bCs/>
          <w:sz w:val="32"/>
          <w:szCs w:val="32"/>
          <w:lang w:val="en-US" w:eastAsia="zh-CN"/>
        </w:rPr>
        <w:t>（六）投资实施</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基金发起人根据投资计划开展投资谈判、协议签署、基金出资等工作。子基金管理机构在收到中选通知书之日起2个月，应完成子基金的工商登记。若未能按时完成，基金发起人有权取消其管理资格。</w:t>
      </w: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第五条 申报通道</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（一）申报期限及方式</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highlight w:val="yellow"/>
          <w:lang w:val="en-US" w:eastAsia="zh-CN"/>
        </w:rPr>
      </w:pPr>
      <w:r>
        <w:rPr>
          <w:rFonts w:hint="eastAsia" w:ascii="Times New Roman" w:hAnsi="Times New Roman" w:eastAsia="仿宋_GB2312" w:cs="Times New Roman"/>
          <w:sz w:val="32"/>
          <w:szCs w:val="32"/>
          <w:lang w:val="en-US" w:eastAsia="zh-CN"/>
        </w:rPr>
        <w:t>本次申报截止日期为发布公告后的15天，申报机构应一次性将全套申报材料（包括纸质材料与U盘存储的电子材料）密封后递交（邮寄或现场）至安徽省芜湖市鸠江区皖江财富广场A1座楼1209室，电子材料同步发送至指定邮箱：qianggy@wuhujt.com</w:t>
      </w:r>
      <w:r>
        <w:rPr>
          <w:rFonts w:hint="eastAsia" w:ascii="Times New Roman" w:hAnsi="Times New Roman" w:eastAsia="仿宋_GB2312" w:cs="Times New Roman"/>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（二）申报材料</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申报机构应按照《芜湖科创基金子基金申报材料（格式）》（附件）的要求提供申报材料，包括纸质材料和电子材料，其中纸质材料正本1份、副本1份；电子材料1份（以U盘存储一并提交，文件名：“申报子基金名称”申报材料+管理机构名称；申报材料密封袋正面注明“申报子基金名称”申报材料+管理机构名称）。</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1.不得改变《芜湖科创基金子基金申报材料（格式）》相关附表及参考模板的整体架构；</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2.纸质材料应分别列出目录及对应页码，规范打印装订成册（须左侧胶装），加盖骑缝章，封面由管理机构法定代表人（或授权代表）签字并加盖单位公章；正文须逐页加盖公章（副本可使用正本复印件）；</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3.电子材料应包含正本材料扫描件（PDF文档）和可编辑文档（以WPS、Word、Excel等格式制作）。电子材料和纸质材料保持一致。如申报材料不符合上述要求，则申报无效。</w:t>
      </w: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第六条 其他事项</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1.申报机构应承诺对申报材料的合法性、真实性、有效性、一致性负完全责任，提供虚假材料的，基金发起人将不再进行合作；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2.本公告仅是一种要约邀请行为，并不构成法律上的要约。基金发起人根据上述程序择优确定子基金管理机构，如未入选不再另行通知；</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3.基金发起人对申报相关事项拥有最终解释权。</w:t>
      </w: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第七条 联系人及联系方式</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联系人：强光运</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联系电话：13084080297</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电子邮箱：qianggy@wuhujt.com</w:t>
      </w:r>
    </w:p>
    <w:sectPr>
      <w:headerReference r:id="rId3" w:type="default"/>
      <w:footerReference r:id="rId4" w:type="default"/>
      <w:pgSz w:w="11906" w:h="16838"/>
      <w:pgMar w:top="1440" w:right="1800" w:bottom="1440" w:left="1800" w:header="851" w:footer="10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2509520</wp:posOffset>
              </wp:positionH>
              <wp:positionV relativeFrom="paragraph">
                <wp:posOffset>-9525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fldChar w:fldCharType="begin"/>
                          </w:r>
                          <w:r>
                            <w:rPr>
                              <w:rFonts w:hint="eastAsia"/>
                              <w:b/>
                              <w:bCs/>
                              <w:color w:val="000000" w:themeColor="text1"/>
                              <w:lang w:eastAsia="zh-CN"/>
                              <w14:textFill>
                                <w14:solidFill>
                                  <w14:schemeClr w14:val="tx1"/>
                                </w14:solidFill>
                              </w14:textFill>
                            </w:rPr>
                            <w:instrText xml:space="preserve"> PAGE  \* MERGEFORMAT </w:instrText>
                          </w:r>
                          <w:r>
                            <w:rPr>
                              <w:rFonts w:hint="eastAsia"/>
                              <w:b/>
                              <w:bCs/>
                              <w:color w:val="000000" w:themeColor="text1"/>
                              <w:lang w:eastAsia="zh-CN"/>
                              <w14:textFill>
                                <w14:solidFill>
                                  <w14:schemeClr w14:val="tx1"/>
                                </w14:solidFill>
                              </w14:textFill>
                            </w:rPr>
                            <w:fldChar w:fldCharType="separate"/>
                          </w:r>
                          <w:r>
                            <w:rPr>
                              <w:rFonts w:hint="eastAsia"/>
                              <w:b/>
                              <w:bCs/>
                              <w:color w:val="000000" w:themeColor="text1"/>
                              <w:lang w:eastAsia="zh-CN"/>
                              <w14:textFill>
                                <w14:solidFill>
                                  <w14:schemeClr w14:val="tx1"/>
                                </w14:solidFill>
                              </w14:textFill>
                            </w:rPr>
                            <w:t>1</w:t>
                          </w:r>
                          <w:r>
                            <w:rPr>
                              <w:rFonts w:hint="eastAsia"/>
                              <w:b/>
                              <w:bCs/>
                              <w:color w:val="000000" w:themeColor="text1"/>
                              <w:lang w:eastAsia="zh-CN"/>
                              <w14:textFill>
                                <w14:solidFill>
                                  <w14:schemeClr w14:val="tx1"/>
                                </w14:solidFill>
                              </w14:textFill>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7.6pt;margin-top:-0.75pt;height:144pt;width:144pt;mso-position-horizontal-relative:margin;mso-wrap-style:none;z-index:251659264;mso-width-relative:page;mso-height-relative:page;" filled="f" stroked="f" coordsize="21600,21600" o:gfxdata="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qJditgAAAAKAQAADwAAAAAA&#10;AAABACAAAAAiAAAAZHJzL2Rvd25yZXYueG1sUEsBAhQAFAAAAAgAh07iQAXccrATAgAAEwQAAA4A&#10;AAAAAAAAAQAgAAAAJwEAAGRycy9lMm9Eb2MueG1sUEsFBgAAAAAGAAYAWQEAAKwFAAAAAA==&#10;">
              <v:fill on="f" focussize="0,0"/>
              <v:stroke on="f" weight="0.5pt"/>
              <v:imagedata o:title=""/>
              <o:lock v:ext="edit" aspectratio="f"/>
              <v:textbox inset="0mm,0mm,0mm,0mm" style="mso-fit-shape-to-text:t;">
                <w:txbxContent>
                  <w:p>
                    <w:pPr>
                      <w:pStyle w:val="4"/>
                      <w:rPr>
                        <w:rFonts w:hint="eastAsia" w:eastAsiaTheme="minorEastAsia"/>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fldChar w:fldCharType="begin"/>
                    </w:r>
                    <w:r>
                      <w:rPr>
                        <w:rFonts w:hint="eastAsia"/>
                        <w:b/>
                        <w:bCs/>
                        <w:color w:val="000000" w:themeColor="text1"/>
                        <w:lang w:eastAsia="zh-CN"/>
                        <w14:textFill>
                          <w14:solidFill>
                            <w14:schemeClr w14:val="tx1"/>
                          </w14:solidFill>
                        </w14:textFill>
                      </w:rPr>
                      <w:instrText xml:space="preserve"> PAGE  \* MERGEFORMAT </w:instrText>
                    </w:r>
                    <w:r>
                      <w:rPr>
                        <w:rFonts w:hint="eastAsia"/>
                        <w:b/>
                        <w:bCs/>
                        <w:color w:val="000000" w:themeColor="text1"/>
                        <w:lang w:eastAsia="zh-CN"/>
                        <w14:textFill>
                          <w14:solidFill>
                            <w14:schemeClr w14:val="tx1"/>
                          </w14:solidFill>
                        </w14:textFill>
                      </w:rPr>
                      <w:fldChar w:fldCharType="separate"/>
                    </w:r>
                    <w:r>
                      <w:rPr>
                        <w:rFonts w:hint="eastAsia"/>
                        <w:b/>
                        <w:bCs/>
                        <w:color w:val="000000" w:themeColor="text1"/>
                        <w:lang w:eastAsia="zh-CN"/>
                        <w14:textFill>
                          <w14:solidFill>
                            <w14:schemeClr w14:val="tx1"/>
                          </w14:solidFill>
                        </w14:textFill>
                      </w:rPr>
                      <w:t>1</w:t>
                    </w:r>
                    <w:r>
                      <w:rPr>
                        <w:rFonts w:hint="eastAsia"/>
                        <w:b/>
                        <w:bCs/>
                        <w:color w:val="000000" w:themeColor="text1"/>
                        <w:lang w:eastAsia="zh-CN"/>
                        <w14:textFill>
                          <w14:solidFill>
                            <w14:schemeClr w14:val="tx1"/>
                          </w14:solidFill>
                        </w14:textFill>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hZDdmZWNlNWQxN2Q2MzE2MzNmYmZjNzg4OWFhNGUifQ=="/>
    <w:docVar w:name="KSO_WPS_MARK_KEY" w:val="e7dd3ff9-6009-41c7-bd0f-c7257cdfa411"/>
  </w:docVars>
  <w:rsids>
    <w:rsidRoot w:val="00000000"/>
    <w:rsid w:val="01B658A1"/>
    <w:rsid w:val="01EA1C38"/>
    <w:rsid w:val="043C382E"/>
    <w:rsid w:val="044E35AF"/>
    <w:rsid w:val="04A04A15"/>
    <w:rsid w:val="04D00905"/>
    <w:rsid w:val="05A2348C"/>
    <w:rsid w:val="060A32F8"/>
    <w:rsid w:val="074F1149"/>
    <w:rsid w:val="085B1243"/>
    <w:rsid w:val="0A1455A6"/>
    <w:rsid w:val="0A2D4237"/>
    <w:rsid w:val="0ADE3228"/>
    <w:rsid w:val="0C48759E"/>
    <w:rsid w:val="0C6E79A4"/>
    <w:rsid w:val="0EF20046"/>
    <w:rsid w:val="10066AEE"/>
    <w:rsid w:val="106E1799"/>
    <w:rsid w:val="10AD651F"/>
    <w:rsid w:val="119801B0"/>
    <w:rsid w:val="12B5456F"/>
    <w:rsid w:val="137600C7"/>
    <w:rsid w:val="13984F09"/>
    <w:rsid w:val="14CB66A0"/>
    <w:rsid w:val="155E4670"/>
    <w:rsid w:val="16610769"/>
    <w:rsid w:val="17BB4921"/>
    <w:rsid w:val="1C293992"/>
    <w:rsid w:val="1C5758D6"/>
    <w:rsid w:val="1CF60B79"/>
    <w:rsid w:val="1CFD0E6C"/>
    <w:rsid w:val="1D1C588B"/>
    <w:rsid w:val="1DB2692F"/>
    <w:rsid w:val="1E6C5A3C"/>
    <w:rsid w:val="1F11701D"/>
    <w:rsid w:val="2078620E"/>
    <w:rsid w:val="209E46FA"/>
    <w:rsid w:val="21C8700C"/>
    <w:rsid w:val="22C65CD7"/>
    <w:rsid w:val="22CB0C28"/>
    <w:rsid w:val="22D35657"/>
    <w:rsid w:val="24322325"/>
    <w:rsid w:val="2520439F"/>
    <w:rsid w:val="252A54C0"/>
    <w:rsid w:val="262F67A4"/>
    <w:rsid w:val="269A6736"/>
    <w:rsid w:val="277744DE"/>
    <w:rsid w:val="27B26C30"/>
    <w:rsid w:val="27D50BB9"/>
    <w:rsid w:val="295809F4"/>
    <w:rsid w:val="29833012"/>
    <w:rsid w:val="29D1386C"/>
    <w:rsid w:val="2C9868FF"/>
    <w:rsid w:val="2D6569A6"/>
    <w:rsid w:val="2E986E35"/>
    <w:rsid w:val="30C603E2"/>
    <w:rsid w:val="31004AB1"/>
    <w:rsid w:val="33141CA5"/>
    <w:rsid w:val="340A4129"/>
    <w:rsid w:val="34967DA2"/>
    <w:rsid w:val="37551B37"/>
    <w:rsid w:val="38651CCB"/>
    <w:rsid w:val="39DF27DC"/>
    <w:rsid w:val="3CA81D61"/>
    <w:rsid w:val="3E856CE9"/>
    <w:rsid w:val="3FCF5A72"/>
    <w:rsid w:val="41974683"/>
    <w:rsid w:val="41CC1BAC"/>
    <w:rsid w:val="437D579D"/>
    <w:rsid w:val="454E3A5C"/>
    <w:rsid w:val="455A2546"/>
    <w:rsid w:val="46D71162"/>
    <w:rsid w:val="47837F08"/>
    <w:rsid w:val="47C03BE0"/>
    <w:rsid w:val="47C45ADA"/>
    <w:rsid w:val="49E4560E"/>
    <w:rsid w:val="49FD0A42"/>
    <w:rsid w:val="4A5703CE"/>
    <w:rsid w:val="4BB31A0A"/>
    <w:rsid w:val="4BCD5D7C"/>
    <w:rsid w:val="4C103BF7"/>
    <w:rsid w:val="4CD56457"/>
    <w:rsid w:val="4D781468"/>
    <w:rsid w:val="4E2C33DA"/>
    <w:rsid w:val="4F3733EC"/>
    <w:rsid w:val="50176831"/>
    <w:rsid w:val="50C16D50"/>
    <w:rsid w:val="51731C71"/>
    <w:rsid w:val="53EB3E58"/>
    <w:rsid w:val="54667D68"/>
    <w:rsid w:val="54C1025B"/>
    <w:rsid w:val="5946474A"/>
    <w:rsid w:val="5952779B"/>
    <w:rsid w:val="5B637D43"/>
    <w:rsid w:val="5B782AD8"/>
    <w:rsid w:val="5BE0695E"/>
    <w:rsid w:val="5D622F0A"/>
    <w:rsid w:val="5F1D7F07"/>
    <w:rsid w:val="61CA37AF"/>
    <w:rsid w:val="62184F16"/>
    <w:rsid w:val="63C70CFE"/>
    <w:rsid w:val="651F19E2"/>
    <w:rsid w:val="65E93083"/>
    <w:rsid w:val="66C256EC"/>
    <w:rsid w:val="696733EA"/>
    <w:rsid w:val="6BD27F56"/>
    <w:rsid w:val="6D617A94"/>
    <w:rsid w:val="6FBC3323"/>
    <w:rsid w:val="6FD62F0C"/>
    <w:rsid w:val="7094255B"/>
    <w:rsid w:val="71C55DF1"/>
    <w:rsid w:val="752C4729"/>
    <w:rsid w:val="75B55145"/>
    <w:rsid w:val="75EC173E"/>
    <w:rsid w:val="777066BE"/>
    <w:rsid w:val="78DD6EC9"/>
    <w:rsid w:val="79983CE9"/>
    <w:rsid w:val="7B197050"/>
    <w:rsid w:val="7B773255"/>
    <w:rsid w:val="7BFA5179"/>
    <w:rsid w:val="7E1F4A23"/>
    <w:rsid w:val="7ED4348A"/>
    <w:rsid w:val="7F715BB6"/>
    <w:rsid w:val="7F72272C"/>
    <w:rsid w:val="7FB42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560" w:lineRule="exact"/>
      <w:ind w:firstLine="200" w:firstLineChars="200"/>
    </w:pPr>
    <w:rPr>
      <w:rFonts w:ascii="Times New Roman" w:hAnsi="Times New Roman"/>
      <w:b/>
      <w:color w:val="000000"/>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6025</Words>
  <Characters>6180</Characters>
  <Lines>0</Lines>
  <Paragraphs>0</Paragraphs>
  <TotalTime>0</TotalTime>
  <ScaleCrop>false</ScaleCrop>
  <LinksUpToDate>false</LinksUpToDate>
  <CharactersWithSpaces>6187</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2024-07-02T03:09:00Z</dcterms:created>
  <dc:creator>29441</dc:creator>
  <cp:lastModifiedBy>29441</cp:lastModifiedBy>
  <cp:lastPrinted>2025-03-11T01:24:00Z</cp:lastPrinted>
  <dcterms:modified xsi:type="dcterms:W3CDTF">2025-03-12T13:52:44Z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262D5B1971354BDFAA1E179E17D6C693</vt:lpwstr>
  </property>
</Properties>
</file>