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2358">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14:paraId="2EC92CA6">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14:paraId="45EBB113">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w:t>
      </w:r>
      <w:r>
        <w:rPr>
          <w:rFonts w:hint="eastAsia" w:ascii="仿宋" w:hAnsi="仿宋" w:eastAsia="仿宋" w:cs="仿宋"/>
          <w:b/>
          <w:color w:val="auto"/>
          <w:sz w:val="24"/>
          <w:highlight w:val="none"/>
          <w:lang w:val="en-US" w:eastAsia="zh-CN"/>
        </w:rPr>
        <w:t>构成</w:t>
      </w:r>
      <w:r>
        <w:rPr>
          <w:rFonts w:hint="eastAsia" w:ascii="仿宋" w:hAnsi="仿宋" w:eastAsia="仿宋" w:cs="仿宋"/>
          <w:b/>
          <w:color w:val="auto"/>
          <w:sz w:val="24"/>
          <w:highlight w:val="none"/>
        </w:rPr>
        <w:t>(满分100分)</w:t>
      </w:r>
    </w:p>
    <w:p w14:paraId="63F6F2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1.1报价（30分）</w:t>
      </w:r>
    </w:p>
    <w:p w14:paraId="3D3EB1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商务部分（</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14:paraId="4E1DC4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14:paraId="100F37C5">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14:paraId="6AACF4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报价及商务部分评分</w:t>
      </w:r>
      <w:r>
        <w:rPr>
          <w:rFonts w:hint="eastAsia" w:ascii="仿宋" w:hAnsi="仿宋" w:eastAsia="仿宋" w:cs="仿宋"/>
          <w:color w:val="auto"/>
          <w:sz w:val="24"/>
          <w:highlight w:val="none"/>
        </w:rPr>
        <w:t>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0" w:type="auto"/>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89"/>
        <w:gridCol w:w="718"/>
        <w:gridCol w:w="7234"/>
      </w:tblGrid>
      <w:tr w14:paraId="562366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67F3394E">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18" w:type="dxa"/>
            <w:tcBorders>
              <w:top w:val="outset" w:color="auto" w:sz="6" w:space="0"/>
              <w:left w:val="outset" w:color="auto" w:sz="6" w:space="0"/>
              <w:bottom w:val="outset" w:color="auto" w:sz="6" w:space="0"/>
              <w:right w:val="outset" w:color="auto" w:sz="6" w:space="0"/>
            </w:tcBorders>
            <w:noWrap w:val="0"/>
            <w:vAlign w:val="center"/>
          </w:tcPr>
          <w:p w14:paraId="23080965">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01E0C1F1">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14:paraId="38C15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48435B0C">
            <w:pPr>
              <w:keepNext w:val="0"/>
              <w:keepLines w:val="0"/>
              <w:widowControl/>
              <w:suppressLineNumbers w:val="0"/>
              <w:jc w:val="center"/>
              <w:rPr>
                <w:sz w:val="21"/>
                <w:szCs w:val="21"/>
              </w:rPr>
            </w:pPr>
            <w:r>
              <w:rPr>
                <w:rFonts w:ascii="仿宋" w:hAnsi="仿宋" w:eastAsia="仿宋" w:cs="仿宋"/>
                <w:color w:val="000000"/>
                <w:kern w:val="0"/>
                <w:sz w:val="21"/>
                <w:szCs w:val="21"/>
                <w:lang w:val="en-US" w:eastAsia="zh-CN" w:bidi="ar"/>
              </w:rPr>
              <w:t>报价（供应商提</w:t>
            </w:r>
          </w:p>
          <w:p w14:paraId="1990540D">
            <w:pPr>
              <w:keepNext w:val="0"/>
              <w:keepLines w:val="0"/>
              <w:widowControl/>
              <w:suppressLineNumbers w:val="0"/>
              <w:jc w:val="center"/>
              <w:rPr>
                <w:sz w:val="21"/>
                <w:szCs w:val="21"/>
              </w:rPr>
            </w:pPr>
            <w:r>
              <w:rPr>
                <w:rFonts w:hint="eastAsia" w:ascii="仿宋" w:hAnsi="仿宋" w:eastAsia="仿宋" w:cs="仿宋"/>
                <w:color w:val="000000"/>
                <w:kern w:val="0"/>
                <w:sz w:val="21"/>
                <w:szCs w:val="21"/>
                <w:lang w:val="en-US" w:eastAsia="zh-CN" w:bidi="ar"/>
              </w:rPr>
              <w:t>交的最后报价）</w:t>
            </w:r>
          </w:p>
          <w:p w14:paraId="6BD52152">
            <w:pPr>
              <w:jc w:val="left"/>
              <w:rPr>
                <w:rFonts w:hint="eastAsia" w:ascii="仿宋" w:hAnsi="仿宋" w:eastAsia="仿宋" w:cs="仿宋"/>
                <w:color w:val="auto"/>
                <w:sz w:val="21"/>
                <w:szCs w:val="21"/>
                <w:highlight w:val="none"/>
              </w:rPr>
            </w:pPr>
          </w:p>
        </w:tc>
        <w:tc>
          <w:tcPr>
            <w:tcW w:w="718" w:type="dxa"/>
            <w:tcBorders>
              <w:top w:val="outset" w:color="auto" w:sz="6" w:space="0"/>
              <w:left w:val="outset" w:color="auto" w:sz="6" w:space="0"/>
              <w:bottom w:val="outset" w:color="auto" w:sz="6" w:space="0"/>
              <w:right w:val="outset" w:color="auto" w:sz="6" w:space="0"/>
            </w:tcBorders>
            <w:noWrap w:val="0"/>
            <w:vAlign w:val="center"/>
          </w:tcPr>
          <w:p w14:paraId="1AB35C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567788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14:paraId="42B79FA7">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14:paraId="6604ED9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14:paraId="761D1C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14:paraId="64C0FAE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2、评标基准价：评标价均价为评标基准价。</w:t>
            </w:r>
          </w:p>
          <w:p w14:paraId="1AEAAF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3、投标报价得分计算：评标价为评标基准价的得满分30分。其他投标人的投标报价得分统一按下列公式计算：投标报价得分=30-|偏差率| *100*1。 </w:t>
            </w:r>
          </w:p>
          <w:p w14:paraId="24D91E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14:paraId="7F9981D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r w14:paraId="7B41CE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9" w:hRule="atLeast"/>
        </w:trPr>
        <w:tc>
          <w:tcPr>
            <w:tcW w:w="1589" w:type="dxa"/>
            <w:tcBorders>
              <w:top w:val="outset" w:color="auto" w:sz="6" w:space="0"/>
              <w:left w:val="outset" w:color="auto" w:sz="6" w:space="0"/>
              <w:bottom w:val="outset" w:color="auto" w:sz="6" w:space="0"/>
              <w:right w:val="outset" w:color="auto" w:sz="6" w:space="0"/>
            </w:tcBorders>
            <w:noWrap w:val="0"/>
            <w:vAlign w:val="center"/>
          </w:tcPr>
          <w:p w14:paraId="42E8CDF7">
            <w:pPr>
              <w:jc w:val="center"/>
              <w:rPr>
                <w:rFonts w:hint="eastAsia" w:ascii="仿宋" w:hAnsi="仿宋" w:eastAsia="仿宋" w:cs="仿宋"/>
                <w:color w:val="auto"/>
                <w:sz w:val="21"/>
                <w:szCs w:val="21"/>
                <w:highlight w:val="none"/>
              </w:rPr>
            </w:pPr>
            <w:r>
              <w:rPr>
                <w:rFonts w:hint="eastAsia" w:ascii="仿宋" w:hAnsi="仿宋" w:eastAsia="仿宋" w:cs="仿宋"/>
                <w:color w:val="000000"/>
                <w:kern w:val="0"/>
                <w:sz w:val="20"/>
                <w:szCs w:val="20"/>
                <w:lang w:val="en-US" w:eastAsia="zh-CN" w:bidi="ar"/>
              </w:rPr>
              <w:t>商务部分</w:t>
            </w:r>
            <w:r>
              <w:rPr>
                <w:rFonts w:hint="eastAsia" w:ascii="仿宋" w:hAnsi="仿宋" w:eastAsia="仿宋" w:cs="仿宋"/>
                <w:color w:val="auto"/>
                <w:sz w:val="24"/>
                <w:highlight w:val="none"/>
                <w:lang w:eastAsia="zh-CN"/>
              </w:rPr>
              <w:t>（</w:t>
            </w:r>
            <w:r>
              <w:rPr>
                <w:rFonts w:ascii="仿宋" w:hAnsi="仿宋" w:eastAsia="仿宋" w:cs="仿宋"/>
                <w:color w:val="000000"/>
                <w:kern w:val="0"/>
                <w:sz w:val="20"/>
                <w:szCs w:val="20"/>
                <w:lang w:val="en-US" w:eastAsia="zh-CN" w:bidi="ar"/>
              </w:rPr>
              <w:t>供应商业绩</w:t>
            </w:r>
            <w:r>
              <w:rPr>
                <w:rFonts w:hint="eastAsia" w:ascii="仿宋" w:hAnsi="仿宋" w:eastAsia="仿宋" w:cs="仿宋"/>
                <w:color w:val="auto"/>
                <w:sz w:val="24"/>
                <w:highlight w:val="none"/>
                <w:lang w:eastAsia="zh-CN"/>
              </w:rPr>
              <w:t>）</w:t>
            </w:r>
          </w:p>
        </w:tc>
        <w:tc>
          <w:tcPr>
            <w:tcW w:w="718" w:type="dxa"/>
            <w:tcBorders>
              <w:top w:val="outset" w:color="auto" w:sz="6" w:space="0"/>
              <w:left w:val="outset" w:color="auto" w:sz="6" w:space="0"/>
              <w:bottom w:val="outset" w:color="auto" w:sz="6" w:space="0"/>
              <w:right w:val="outset" w:color="auto" w:sz="6" w:space="0"/>
            </w:tcBorders>
            <w:noWrap w:val="0"/>
            <w:vAlign w:val="center"/>
          </w:tcPr>
          <w:p w14:paraId="1EEFC24F">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2631FF2C">
            <w:pPr>
              <w:keepNext w:val="0"/>
              <w:keepLines w:val="0"/>
              <w:widowControl/>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供应商具备类似项目业绩的，提供</w:t>
            </w:r>
            <w:r>
              <w:rPr>
                <w:rFonts w:hint="eastAsia" w:ascii="仿宋" w:hAnsi="仿宋" w:eastAsia="仿宋" w:cs="仿宋"/>
                <w:b/>
                <w:bCs/>
                <w:color w:val="000000"/>
                <w:kern w:val="0"/>
                <w:sz w:val="21"/>
                <w:szCs w:val="21"/>
                <w:highlight w:val="none"/>
                <w:lang w:val="en-US" w:eastAsia="zh-CN" w:bidi="ar"/>
              </w:rPr>
              <w:t>业绩合同</w:t>
            </w:r>
            <w:r>
              <w:rPr>
                <w:rFonts w:hint="eastAsia" w:ascii="仿宋" w:hAnsi="仿宋" w:eastAsia="仿宋" w:cs="仿宋"/>
                <w:color w:val="000000"/>
                <w:kern w:val="0"/>
                <w:sz w:val="21"/>
                <w:szCs w:val="21"/>
                <w:highlight w:val="none"/>
                <w:lang w:val="en-US" w:eastAsia="zh-CN" w:bidi="ar"/>
              </w:rPr>
              <w:t xml:space="preserve">，有一项加 </w:t>
            </w:r>
            <w:r>
              <w:rPr>
                <w:rFonts w:hint="eastAsia" w:ascii="仿宋" w:hAnsi="仿宋" w:eastAsia="仿宋" w:cs="仿宋"/>
                <w:color w:val="000000"/>
                <w:kern w:val="0"/>
                <w:sz w:val="21"/>
                <w:szCs w:val="21"/>
                <w:highlight w:val="none"/>
                <w:u w:val="single"/>
                <w:lang w:val="en-US" w:eastAsia="zh-CN" w:bidi="ar"/>
              </w:rPr>
              <w:t>2</w:t>
            </w:r>
            <w:r>
              <w:rPr>
                <w:rFonts w:hint="eastAsia" w:ascii="仿宋" w:hAnsi="仿宋" w:eastAsia="仿宋" w:cs="仿宋"/>
                <w:color w:val="000000"/>
                <w:kern w:val="0"/>
                <w:sz w:val="21"/>
                <w:szCs w:val="21"/>
                <w:highlight w:val="none"/>
                <w:lang w:val="en-US" w:eastAsia="zh-CN" w:bidi="ar"/>
              </w:rPr>
              <w:t>分，本项加满为止。</w:t>
            </w:r>
          </w:p>
          <w:p w14:paraId="25945F13">
            <w:pPr>
              <w:keepNext w:val="0"/>
              <w:keepLines w:val="0"/>
              <w:widowControl/>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类似项目业绩指：建筑施工类合同（合同金额10万元及以上）。</w:t>
            </w:r>
          </w:p>
          <w:p w14:paraId="2868E52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highlight w:val="none"/>
                <w:lang w:val="en-US" w:eastAsia="zh-CN" w:bidi="ar"/>
              </w:rPr>
              <w:t>（响应文件中须提供业绩合同，扫描件应能辨识买卖双方公章或合同章、标的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bl>
    <w:p w14:paraId="388DC9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6"/>
        <w:tblW w:w="9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44"/>
        <w:gridCol w:w="7260"/>
      </w:tblGrid>
      <w:tr w14:paraId="2FC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14:paraId="79A31DF0">
            <w:pPr>
              <w:pStyle w:val="5"/>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744" w:type="dxa"/>
            <w:noWrap w:val="0"/>
            <w:vAlign w:val="center"/>
          </w:tcPr>
          <w:p w14:paraId="1B2402AF">
            <w:pPr>
              <w:pStyle w:val="5"/>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260" w:type="dxa"/>
            <w:noWrap w:val="0"/>
            <w:vAlign w:val="center"/>
          </w:tcPr>
          <w:p w14:paraId="07A1445B">
            <w:pPr>
              <w:pStyle w:val="5"/>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14:paraId="61C5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568" w:type="dxa"/>
            <w:tcBorders>
              <w:bottom w:val="nil"/>
            </w:tcBorders>
            <w:noWrap w:val="0"/>
            <w:vAlign w:val="center"/>
          </w:tcPr>
          <w:p w14:paraId="7B42299E">
            <w:pPr>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施工方案总体概述</w:t>
            </w:r>
          </w:p>
        </w:tc>
        <w:tc>
          <w:tcPr>
            <w:tcW w:w="744" w:type="dxa"/>
            <w:tcBorders>
              <w:bottom w:val="nil"/>
            </w:tcBorders>
            <w:noWrap w:val="0"/>
            <w:vAlign w:val="center"/>
          </w:tcPr>
          <w:p w14:paraId="7C42A80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noWrap w:val="0"/>
            <w:vAlign w:val="top"/>
          </w:tcPr>
          <w:p w14:paraId="1C984B88">
            <w:pPr>
              <w:keepNext w:val="0"/>
              <w:keepLines w:val="0"/>
              <w:widowControl/>
              <w:suppressLineNumbers w:val="0"/>
              <w:autoSpaceDE w:val="0"/>
              <w:autoSpaceDN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阐述对项目施工方案总体概述，包含但不限于以下内容：①项目现状了解；②项目内容分析；③项目总体服务概述。</w:t>
            </w:r>
          </w:p>
          <w:p w14:paraId="6CCF8433">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（1）方案内容详细完整，可行性、实用性和针对性强的，得8-10分；</w:t>
            </w:r>
          </w:p>
          <w:p w14:paraId="64315C81">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（2）方案内容完整，具有可行性、实用性和针对性的，得4-7分；</w:t>
            </w:r>
          </w:p>
          <w:p w14:paraId="25D1DBB4">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（3）方案内容基本适合采购需求，可行性、实用性和针对性有待改善的，得1-3分；</w:t>
            </w:r>
          </w:p>
          <w:p w14:paraId="7AA4F25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7FF9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68A23AE7">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施工进度计划及保证措施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1B6A420">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120FD655">
            <w:pPr>
              <w:autoSpaceDE w:val="0"/>
              <w:autoSpaceDN w:val="0"/>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 xml:space="preserve">阐述施工进度计划及保证措施。内容包含但不限于以下内容：①施工进度计划；②施工进度控制及保证措施。 </w:t>
            </w:r>
          </w:p>
          <w:p w14:paraId="47A68702">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（1）施工进度计划和各阶段进度保证措施及承诺内容全面完整详细，可行性、实用性、针对性强的，得8-10分； </w:t>
            </w:r>
          </w:p>
          <w:p w14:paraId="7819CCB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（2）施工进度计划和各阶段进度保证措施及承诺内容完整详细，具有可行性、实用性和针对性的，得4-7分； </w:t>
            </w:r>
          </w:p>
          <w:p w14:paraId="633D7E6A">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（3）施工进度计划和各阶段进度保证措施及承诺内容可行性、实用性、针对性有待改善的，得1-3分；</w:t>
            </w:r>
          </w:p>
          <w:p w14:paraId="58067D45">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（4）内容不可行或者未提供相关内容的不得分。</w:t>
            </w:r>
          </w:p>
        </w:tc>
      </w:tr>
      <w:tr w14:paraId="10E3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3426754">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劳动力和材料投入计划及保证措施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CB4CF6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2D2AD60A">
            <w:pPr>
              <w:keepNext w:val="0"/>
              <w:keepLines w:val="0"/>
              <w:widowControl/>
              <w:suppressLineNumbers w:val="0"/>
              <w:autoSpaceDE w:val="0"/>
              <w:autoSpaceDN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 xml:space="preserve">内容包含但不限于以下内容：①劳动力投入计划；②材料投入计划；③劳动力保证措施；④材料保证措施。 </w:t>
            </w:r>
          </w:p>
          <w:p w14:paraId="5D410EB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宋体" w:hAnsi="宋体" w:eastAsia="宋体" w:cs="宋体"/>
                <w:b w:val="0"/>
                <w:bCs w:val="0"/>
                <w:sz w:val="18"/>
                <w:szCs w:val="18"/>
                <w:u w:val="none"/>
                <w:vertAlign w:val="baseline"/>
                <w:lang w:val="en-US" w:eastAsia="zh-CN"/>
              </w:rPr>
              <w:t>（</w:t>
            </w:r>
            <w:r>
              <w:rPr>
                <w:rFonts w:hint="eastAsia" w:ascii="仿宋" w:hAnsi="仿宋" w:eastAsia="仿宋" w:cs="仿宋"/>
                <w:color w:val="000000"/>
                <w:kern w:val="0"/>
                <w:sz w:val="21"/>
                <w:szCs w:val="21"/>
                <w:lang w:val="en-US" w:eastAsia="zh-CN" w:bidi="ar"/>
              </w:rPr>
              <w:t xml:space="preserve">1）根据项目进度，劳动力和材料投入计划及保证措施详细完整，可行性、实用性、针对性强的，得8-10分； </w:t>
            </w:r>
          </w:p>
          <w:p w14:paraId="31286D5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（2）根据项目进度，劳动力和材料投入计划及保证措施完整，具有可行性、实用性和针对性的，得4-7分； </w:t>
            </w:r>
          </w:p>
          <w:p w14:paraId="4B3D06E1">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（3）根据项目进度，劳动力和材料投入计划及保证措施可行性、实用性、针对性有待改善的，得1-3分； </w:t>
            </w:r>
          </w:p>
          <w:p w14:paraId="57FFD7A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（4）内容不可行或者未提供相关内容的不得分。</w:t>
            </w:r>
          </w:p>
        </w:tc>
      </w:tr>
      <w:tr w14:paraId="44FA8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B78A926">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机械设备投入计划及保证措施</w:t>
            </w:r>
          </w:p>
          <w:p w14:paraId="4C918B6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A9F2E34">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F530D15">
            <w:pPr>
              <w:keepNext w:val="0"/>
              <w:keepLines w:val="0"/>
              <w:widowControl/>
              <w:suppressLineNumbers w:val="0"/>
              <w:autoSpaceDE w:val="0"/>
              <w:autoSpaceDN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 xml:space="preserve">供应商提供针对本项目的机械设备投入计划及保证措施。 </w:t>
            </w:r>
          </w:p>
          <w:p w14:paraId="7751584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（1）根据项目进度，机械设备投入计划及保证措施详细完整，可行性、实用性、 针对性强的，得8-10分； </w:t>
            </w:r>
          </w:p>
          <w:p w14:paraId="25B8AA5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（2）根据项目进度，机械设备投入计划及保证措施完整，具有可行性、实用性和针对性的，得4-7分；</w:t>
            </w:r>
          </w:p>
          <w:p w14:paraId="56CAE99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（3）根据项目进度，机械设备投入计划及保证措施可行性、实用性、针对性有待改善的，得1-3分； </w:t>
            </w:r>
          </w:p>
          <w:p w14:paraId="4E82C79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（4）内容不可行或者未提供相关内容的不得分。</w:t>
            </w:r>
          </w:p>
        </w:tc>
      </w:tr>
      <w:tr w14:paraId="3F9C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4E664806">
            <w:pPr>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工程项目的重难点分析和保证措施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15DC5DB">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21F1848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根据本项目的特点，提供工程项目实施的重难点分析和保证措施。</w:t>
            </w:r>
            <w:r>
              <w:rPr>
                <w:rFonts w:hint="eastAsia" w:ascii="仿宋" w:hAnsi="仿宋" w:eastAsia="仿宋" w:cs="仿宋"/>
                <w:color w:val="000000"/>
                <w:kern w:val="0"/>
                <w:sz w:val="21"/>
                <w:szCs w:val="21"/>
                <w:lang w:val="en-US" w:eastAsia="zh-CN" w:bidi="ar"/>
              </w:rPr>
              <w:t xml:space="preserve"> </w:t>
            </w:r>
          </w:p>
          <w:p w14:paraId="4B7EF59C">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（1）重难点分析和保证措施内容详细完整，可行性、实用性和针对性强的，得8-10分；</w:t>
            </w:r>
          </w:p>
          <w:p w14:paraId="483B066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（2）重难点分析和保证措施内容完整，具有可行性、实用性和针对性的，得4-7分；</w:t>
            </w:r>
          </w:p>
          <w:p w14:paraId="21B4BC4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（3）重难点分析和保证措施内容基本适合采购需求，可行性、实用性和针对性有待改善的，得1-3分；</w:t>
            </w:r>
          </w:p>
          <w:p w14:paraId="6D6CD0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3CA95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73B9A51">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安全文明措施</w:t>
            </w:r>
          </w:p>
          <w:p w14:paraId="10607194">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7A2E9018">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7EA092A2">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安全文明措施内容包含但不限于以下内容：①安全文明施工的管理体制、制度与职责；②安全施工措施；③文明施工措施。</w:t>
            </w:r>
            <w:r>
              <w:rPr>
                <w:rFonts w:hint="eastAsia" w:ascii="仿宋" w:hAnsi="仿宋" w:eastAsia="仿宋" w:cs="仿宋"/>
                <w:color w:val="000000"/>
                <w:kern w:val="0"/>
                <w:sz w:val="21"/>
                <w:szCs w:val="21"/>
                <w:lang w:val="en-US" w:eastAsia="zh-CN" w:bidi="ar"/>
              </w:rPr>
              <w:t xml:space="preserve"> </w:t>
            </w:r>
          </w:p>
          <w:p w14:paraId="16B9F38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（1）安全文明措施内容详细完整，可行性、实用性、针对性强的，得8-10分； </w:t>
            </w:r>
          </w:p>
          <w:p w14:paraId="4D78955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（2）安全文明措施内容内容完整，具有可行性、实用性和针对性的，得4-7分； </w:t>
            </w:r>
          </w:p>
          <w:p w14:paraId="06B59DF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（3）安全文明措施内容内容可行性、实用性、针对性有待改善的，得1-3分； </w:t>
            </w:r>
          </w:p>
          <w:p w14:paraId="4070983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（4）内容不可行或者未提供相关内容的不得分。</w:t>
            </w:r>
          </w:p>
        </w:tc>
      </w:tr>
    </w:tbl>
    <w:p w14:paraId="557C39E3">
      <w:pPr>
        <w:keepNext w:val="0"/>
        <w:keepLines w:val="0"/>
        <w:widowControl/>
        <w:suppressLineNumbers w:val="0"/>
        <w:autoSpaceDE w:val="0"/>
        <w:autoSpaceDN w:val="0"/>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910479"/>
    <w:rsid w:val="00BC6358"/>
    <w:rsid w:val="16782586"/>
    <w:rsid w:val="19B9666B"/>
    <w:rsid w:val="221072CF"/>
    <w:rsid w:val="275C1EB0"/>
    <w:rsid w:val="2BA66860"/>
    <w:rsid w:val="2C803946"/>
    <w:rsid w:val="2CF20C6C"/>
    <w:rsid w:val="39DB5DBE"/>
    <w:rsid w:val="3AD163B6"/>
    <w:rsid w:val="3F5F776B"/>
    <w:rsid w:val="41357157"/>
    <w:rsid w:val="44F1532A"/>
    <w:rsid w:val="46BB4D8F"/>
    <w:rsid w:val="4BF348D1"/>
    <w:rsid w:val="56E10C5F"/>
    <w:rsid w:val="57910479"/>
    <w:rsid w:val="5C6037C2"/>
    <w:rsid w:val="5CE223F5"/>
    <w:rsid w:val="6041313D"/>
    <w:rsid w:val="68062949"/>
    <w:rsid w:val="6A0E32C2"/>
    <w:rsid w:val="782C28A7"/>
    <w:rsid w:val="7836450F"/>
    <w:rsid w:val="79C8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2492</Words>
  <Characters>2581</Characters>
  <Lines>0</Lines>
  <Paragraphs>0</Paragraphs>
  <TotalTime>4</TotalTime>
  <ScaleCrop>false</ScaleCrop>
  <LinksUpToDate>false</LinksUpToDate>
  <CharactersWithSpaces>2615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2024-05-17T07:33:00Z</dcterms:created>
  <dc:creator>周周</dc:creator>
  <cp:lastModifiedBy>萤染了白月牙</cp:lastModifiedBy>
  <cp:lastPrinted>2025-05-23T01:20:00Z</cp:lastPrinted>
  <dcterms:modified xsi:type="dcterms:W3CDTF">2025-07-03T08:25:53Z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DC475C6A13044514A7D34391F2467A6B_13</vt:lpwstr>
  </property>
  <property fmtid="{D5CDD505-2E9C-101B-9397-08002B2CF9AE}" pid="4" name="KSOTemplateDocerSaveRecord">
    <vt:lpwstr>eyJoZGlkIjoiMDk4MjJiMmY3YmI0Nzk2NzcwNWVhZjNhZTM2MGE5ODQiLCJ1c2VySWQiOiIxMjE1NjEzMTI5In0=</vt:lpwstr>
  </property>
</Properties>
</file>